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Cuerpo"/>
        <w:rPr>
          <w:b/>
          <w:bCs/>
          <w:lang w:val="en-US"/>
        </w:rPr>
      </w:pPr>
      <w:r>
        <w:rPr>
          <w:b/>
          <w:bCs/>
          <w:lang w:val="en-US"/>
        </w:rPr>
        <w:t>TP  - HISTORIA 6TO AÑO - PROF. ROSAS</w:t>
      </w:r>
    </w:p>
    <w:p>
      <w:pPr>
        <w:pStyle w:val="Cuerpo"/>
        <w:bidi w:val="0"/>
        <w:jc w:val="left"/>
        <w:rPr>
          <w:b/>
          <w:bCs/>
        </w:rPr>
      </w:pPr>
      <w:r>
        <w:rPr>
          <w:b/>
          <w:bCs/>
        </w:rPr>
        <w:t>Presentación general de Historia del siglo XX</w:t>
      </w:r>
    </w:p>
    <w:p>
      <w:pPr>
        <w:pStyle w:val="Cuerpo"/>
        <w:bidi w:val="0"/>
        <w:jc w:val="left"/>
        <w:rPr/>
      </w:pPr>
      <w:r>
        <w:rPr/>
      </w:r>
    </w:p>
    <w:p>
      <w:pPr>
        <w:pStyle w:val="Cuerpo"/>
        <w:bidi w:val="0"/>
        <w:jc w:val="left"/>
        <w:rPr/>
      </w:pPr>
      <w:r>
        <w:rPr/>
        <w:t>En base a la lectura de los textos de Alexievich y Hobsbawn, intenta interpretar las siguientes frases:</w:t>
      </w:r>
    </w:p>
    <w:p>
      <w:pPr>
        <w:pStyle w:val="Cuerpo"/>
        <w:bidi w:val="0"/>
        <w:jc w:val="left"/>
        <w:rPr/>
      </w:pPr>
      <w:r>
        <w:rPr/>
      </w:r>
    </w:p>
    <w:p>
      <w:pPr>
        <w:pStyle w:val="Cuerpo"/>
        <w:bidi w:val="0"/>
        <w:jc w:val="left"/>
        <w:rPr/>
      </w:pPr>
      <w:r>
        <w:rPr/>
        <w:t>“</w:t>
      </w:r>
      <w:r>
        <w:rPr/>
        <w:t>Los documentos son seres vivos” (Alexievich)</w:t>
      </w:r>
    </w:p>
    <w:p>
      <w:pPr>
        <w:pStyle w:val="Cuerpo"/>
        <w:bidi w:val="0"/>
        <w:jc w:val="left"/>
        <w:rPr/>
      </w:pPr>
      <w:r>
        <w:rPr/>
        <w:t>“</w:t>
      </w:r>
      <w:r>
        <w:rPr/>
        <w:t>La memoria histórica ya no estaba viva” (Hobsbawn)</w:t>
      </w:r>
    </w:p>
    <w:p>
      <w:pPr>
        <w:pStyle w:val="Cuerpo"/>
        <w:bidi w:val="0"/>
        <w:jc w:val="left"/>
        <w:rPr/>
      </w:pPr>
      <w:r>
        <w:rPr/>
        <w:t>“</w:t>
      </w:r>
      <w:r>
        <w:rPr/>
        <w:t>Como mínimo somos tres los que participamos de la conversación: el que habla, la persona tal como fue en el pasado, y yo” (Alexievich)</w:t>
      </w:r>
    </w:p>
    <w:p>
      <w:pPr>
        <w:pStyle w:val="Cuerpo"/>
        <w:bidi w:val="0"/>
        <w:jc w:val="left"/>
        <w:rPr/>
      </w:pPr>
      <w:r>
        <w:rPr/>
        <w:t>“</w:t>
      </w:r>
      <w:r>
        <w:rPr/>
        <w:t>La labor del historiado no es juzgar sino comprender” (Hobsbawn)</w:t>
      </w:r>
    </w:p>
    <w:p>
      <w:pPr>
        <w:pStyle w:val="Cuerpo"/>
        <w:bidi w:val="0"/>
        <w:jc w:val="left"/>
        <w:rPr/>
      </w:pPr>
      <w:r>
        <w:rPr/>
        <w:t>“</w:t>
      </w:r>
      <w:r>
        <w:rPr/>
        <w:t xml:space="preserve">La vida del narrador se cuela entre sus recuerdos” </w:t>
      </w:r>
      <w:bookmarkStart w:id="0" w:name="__DdeLink__325_1150655709"/>
      <w:bookmarkEnd w:id="0"/>
      <w:r>
        <w:rPr/>
        <w:t>(Alexievich)</w:t>
      </w:r>
    </w:p>
    <w:p>
      <w:pPr>
        <w:pStyle w:val="Cuerpo"/>
        <w:bidi w:val="0"/>
        <w:jc w:val="left"/>
        <w:rPr/>
      </w:pPr>
      <w:r>
        <w:rPr/>
        <w:t>“</w:t>
      </w:r>
      <w:r>
        <w:rPr/>
        <w:t>Lo que nos hiere por encima de todo es que nos arrancaron de un gran pasado y nos echaron a un presente insoportablemente pequeño” (Alexievich)</w:t>
      </w:r>
    </w:p>
    <w:p>
      <w:pPr>
        <w:pStyle w:val="Cuerpo"/>
        <w:bidi w:val="0"/>
        <w:jc w:val="left"/>
        <w:rPr/>
      </w:pPr>
      <w:r>
        <w:rPr/>
      </w:r>
    </w:p>
    <w:p>
      <w:pPr>
        <w:pStyle w:val="Cuerpo"/>
        <w:bidi w:val="0"/>
        <w:jc w:val="left"/>
        <w:rPr>
          <w:b/>
          <w:bCs/>
        </w:rPr>
      </w:pPr>
      <w:r>
        <w:rPr>
          <w:b/>
          <w:bCs/>
        </w:rPr>
        <w:t>Guía de lectura para Hobsbawn, E. ”Vista panorámica del siglo XX” En: Historia del siglo XX. Crítica, 1994.</w:t>
      </w:r>
    </w:p>
    <w:p>
      <w:pPr>
        <w:pStyle w:val="Cuerpo"/>
        <w:bidi w:val="0"/>
        <w:jc w:val="left"/>
        <w:rPr/>
      </w:pPr>
      <w:r>
        <w:rPr/>
      </w:r>
    </w:p>
    <w:p>
      <w:pPr>
        <w:pStyle w:val="Cuerpo"/>
        <w:numPr>
          <w:ilvl w:val="0"/>
          <w:numId w:val="1"/>
        </w:numPr>
        <w:bidi w:val="0"/>
        <w:jc w:val="left"/>
        <w:rPr/>
      </w:pPr>
      <w:r>
        <w:rPr/>
        <w:t>a) ¿Cuál es el objetivo central del autor en este libro?</w:t>
      </w:r>
    </w:p>
    <w:p>
      <w:pPr>
        <w:pStyle w:val="Cuerpo"/>
        <w:bidi w:val="0"/>
        <w:jc w:val="left"/>
        <w:rPr/>
      </w:pPr>
      <w:r>
        <w:rPr/>
        <w:t xml:space="preserve">      </w:t>
      </w:r>
      <w:r>
        <w:rPr/>
        <w:t>b) ¿En qué momento histórico escribe? ¿Cómo influye este presente en su mirada del siglo XX como un proceso histórico perteneciente al pasado?</w:t>
      </w:r>
    </w:p>
    <w:p>
      <w:pPr>
        <w:pStyle w:val="Cuerpo"/>
        <w:bidi w:val="0"/>
        <w:jc w:val="left"/>
        <w:rPr/>
      </w:pPr>
      <w:r>
        <w:rPr/>
        <w:t>II.   a) ¿Qué cronología establece para el siglo XX?</w:t>
      </w:r>
    </w:p>
    <w:p>
      <w:pPr>
        <w:pStyle w:val="Cuerpo"/>
        <w:bidi w:val="0"/>
        <w:jc w:val="left"/>
        <w:rPr/>
      </w:pPr>
      <w:r>
        <w:rPr/>
        <w:t xml:space="preserve">      </w:t>
      </w:r>
      <w:r>
        <w:rPr/>
        <w:t>b) ¿Cómo lo estructura para poder ”comprenderlo”? Realiza una representación esquemático-conceptual y caracteriza a cada etapa.</w:t>
      </w:r>
    </w:p>
    <w:p>
      <w:pPr>
        <w:pStyle w:val="Cuerpo"/>
        <w:bidi w:val="0"/>
        <w:jc w:val="left"/>
        <w:rPr/>
      </w:pPr>
      <w:r>
        <w:rPr/>
        <w:t>III.  a) ¿Qué paralelismos establece entre el mundo de 1914 y el de 1989?</w:t>
      </w:r>
    </w:p>
    <w:p>
      <w:pPr>
        <w:pStyle w:val="Cuerpo"/>
        <w:bidi w:val="0"/>
        <w:jc w:val="left"/>
        <w:rPr/>
      </w:pPr>
      <w:r>
        <w:rPr/>
        <w:t xml:space="preserve">      </w:t>
      </w:r>
      <w:r>
        <w:rPr/>
        <w:t>b) ¿Qué distinciones los separa?</w:t>
      </w:r>
    </w:p>
    <w:p>
      <w:pPr>
        <w:pStyle w:val="Cuerpo"/>
        <w:bidi w:val="0"/>
        <w:jc w:val="left"/>
        <w:rPr/>
      </w:pPr>
      <w:r>
        <w:rPr/>
      </w:r>
    </w:p>
    <w:p>
      <w:pPr>
        <w:pStyle w:val="Cuerpo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09" w:top="1134" w:footer="850" w:bottom="1134" w:gutter="0"/>
      <w:pgNumType w:fmt="decimal"/>
      <w:formProt w:val="false"/>
      <w:textDirection w:val="lrTb"/>
      <w:bidi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keepNext/>
      <w:keepLines w:val="false"/>
      <w:widowControl/>
      <w:pBdr>
        <w:top w:val="nil"/>
        <w:left w:val="nil"/>
        <w:bottom w:val="nil"/>
        <w:right w:val="nil"/>
      </w:pBdr>
      <w:shd w:fill="FFFFFF" w:val="clear"/>
      <w:suppressAutoHyphens w:val="false"/>
      <w:bidi w:val="0"/>
      <w:spacing w:lineRule="auto" w:line="240" w:before="280" w:after="280"/>
      <w:ind w:left="0" w:right="0" w:hanging="0"/>
      <w:jc w:val="lef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keepNext/>
      <w:keepLines w:val="false"/>
      <w:widowControl/>
      <w:pBdr>
        <w:top w:val="nil"/>
        <w:left w:val="nil"/>
        <w:bottom w:val="nil"/>
        <w:right w:val="nil"/>
      </w:pBdr>
      <w:shd w:fill="FFFFFF" w:val="clear"/>
      <w:suppressAutoHyphens w:val="false"/>
      <w:bidi w:val="0"/>
      <w:spacing w:lineRule="auto" w:line="240" w:before="280" w:after="280"/>
      <w:ind w:left="0" w:right="0" w:hanging="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decimal"/>
      <w:lvlText w:val="%3."/>
      <w:lvlJc w:val="left"/>
      <w:pPr>
        <w:ind w:lef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decimal"/>
      <w:lvlText w:val="(%5)"/>
      <w:lvlJc w:val="left"/>
      <w:pPr>
        <w:ind w:lef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lowerLetter"/>
      <w:lvlText w:val="(%6)"/>
      <w:lvlJc w:val="left"/>
      <w:pPr>
        <w:ind w:lef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lowerRoman"/>
      <w:lvlText w:val="%7)"/>
      <w:lvlJc w:val="left"/>
      <w:pPr>
        <w:ind w:lef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decimal"/>
      <w:lvlText w:val="(%8)"/>
      <w:lvlJc w:val="left"/>
      <w:pPr>
        <w:ind w:lef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Arial Unicode MS" w:cs="Times New Roman"/>
        <w:color w:val="00000A"/>
        <w:lang w:val="es-ES" w:eastAsia="zh-CN" w:bidi="hi-IN"/>
      </w:rPr>
    </w:rPrDefault>
    <w:pPrDefault>
      <w:pPr>
        <w:widowControl/>
        <w:suppressAutoHyphens w:val="false"/>
      </w:pPr>
    </w:pPrDefault>
  </w:docDefaults>
  <w:style w:type="paragraph" w:styleId="Normal" w:default="1">
    <w:name w:val="Normal"/>
    <w:pPr>
      <w:keepNext/>
      <w:keepLines w:val="false"/>
      <w:widowControl/>
      <w:pBdr>
        <w:top w:val="nil"/>
        <w:left w:val="nil"/>
        <w:bottom w:val="nil"/>
        <w:right w:val="nil"/>
      </w:pBdr>
      <w:shd w:fill="FFFFFF" w:val="clear"/>
      <w:suppressAutoHyphens w:val="false"/>
      <w:bidi w:val="0"/>
      <w:spacing w:lineRule="auto" w:line="240" w:before="280" w:after="280"/>
      <w:ind w:left="0" w:right="0" w:hanging="0"/>
      <w:jc w:val="lef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A"/>
      <w:spacing w:val="0"/>
      <w:w w:val="100"/>
      <w:position w:val="0"/>
      <w:sz w:val="24"/>
      <w:sz w:val="24"/>
      <w:szCs w:val="24"/>
      <w:u w:val="none" w:color="00000A"/>
      <w:vertAlign w:val="baseline"/>
      <w:lang w:val="en-US" w:eastAsia="en-US" w:bidi="ar-SA"/>
    </w:rPr>
  </w:style>
  <w:style w:type="character" w:styleId="DefaultParagraphFont" w:default="1">
    <w:name w:val="Default Paragraph Font"/>
    <w:rPr/>
  </w:style>
  <w:style w:type="character" w:styleId="EnlacedeInternet">
    <w:name w:val="Enlace de Internet"/>
    <w:rPr>
      <w:color w:val="000080"/>
      <w:u w:val="single"/>
      <w:lang w:val="zxx" w:eastAsia="zxx" w:bidi="zxx"/>
    </w:rPr>
  </w:style>
  <w:style w:type="character" w:styleId="ListLabel1">
    <w:name w:val="ListLabel 1"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">
    <w:name w:val="ListLabel 2"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paragraph" w:styleId="Encabezado">
    <w:name w:val="Encabezado"/>
    <w:basedOn w:val="Normal"/>
    <w:next w:val="Cuerpodetexto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uerpodetexto">
    <w:name w:val="Cuerpo de texto"/>
    <w:basedOn w:val="Normal"/>
    <w:pPr>
      <w:spacing w:lineRule="auto" w:line="288" w:before="0" w:after="140"/>
    </w:pPr>
    <w:rPr/>
  </w:style>
  <w:style w:type="paragraph" w:styleId="Lista">
    <w:name w:val="Lista"/>
    <w:basedOn w:val="Cuerpodetexto"/>
    <w:pPr/>
    <w:rPr>
      <w:rFonts w:cs="FreeSans"/>
    </w:rPr>
  </w:style>
  <w:style w:type="paragraph" w:styleId="Pie">
    <w:name w:val="Pi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FreeSans"/>
    </w:rPr>
  </w:style>
  <w:style w:type="paragraph" w:styleId="Cuerpo">
    <w:name w:val="Cuerpo"/>
    <w:pPr>
      <w:keepNext/>
      <w:keepLines w:val="false"/>
      <w:widowControl/>
      <w:pBdr>
        <w:top w:val="nil"/>
        <w:left w:val="nil"/>
        <w:bottom w:val="nil"/>
        <w:right w:val="nil"/>
      </w:pBdr>
      <w:shd w:fill="FFFFFF" w:val="clear"/>
      <w:suppressAutoHyphens w:val="false"/>
      <w:bidi w:val="0"/>
      <w:spacing w:lineRule="auto" w:line="240" w:before="0" w:after="0"/>
      <w:ind w:left="0" w:right="0" w:hanging="0"/>
      <w:jc w:val="left"/>
    </w:pPr>
    <w:rPr>
      <w:rFonts w:ascii="Helvetica" w:hAnsi="Helvetica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position w:val="0"/>
      <w:sz w:val="22"/>
      <w:sz w:val="22"/>
      <w:szCs w:val="22"/>
      <w:u w:val="none" w:color="00000A"/>
      <w:vertAlign w:val="baseline"/>
      <w:lang w:val="en-US" w:eastAsia="zh-CN" w:bidi="hi-IN"/>
    </w:rPr>
  </w:style>
  <w:style w:type="paragraph" w:styleId="Encabezamiento">
    <w:name w:val="Encabezamiento"/>
    <w:basedOn w:val="Normal"/>
    <w:pPr/>
    <w:rPr/>
  </w:style>
  <w:style w:type="paragraph" w:styleId="Piedepgina">
    <w:name w:val="Pie de página"/>
    <w:basedOn w:val="Normal"/>
    <w:pPr/>
    <w:rPr/>
  </w:style>
  <w:style w:type="numbering" w:styleId="NoList" w:default="1">
    <w:name w:val="No List"/>
  </w:style>
  <w:style w:type="numbering" w:styleId="Harvard">
    <w:name w:val="Harvard"/>
  </w:style>
  <w:style w:type="table" w:default="1" w:styleId="Table Normal">
    <w:name w:val="Table Normal"/>
    <w:tblPr>
      <w:tblInd w:type="dxa" w:w="0"/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es-ES</dc:language>
  <cp:revision>0</cp:revision>
</cp:coreProperties>
</file>